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РФ от 21.06.2010 N 468</w:t>
              <w:br/>
              <w:t xml:space="preserve">(ред. от 06.05.2024)</w:t>
              <w:br/>
              <w:t xml:space="preserve">"О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строительства"</w:t>
              <w:br/>
              <w:t xml:space="preserve">(вместе с "Положением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строительства")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03.03.2026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ПРАВИТЕЛЬСТВО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21 июня 2010 г. N 468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ПОРЯДКЕ ПРОВЕДЕНИЯ</w:t>
      </w:r>
    </w:p>
    <w:p>
      <w:pPr>
        <w:pStyle w:val="2"/>
        <w:jc w:val="center"/>
      </w:pPr>
      <w:r>
        <w:rPr>
          <w:sz w:val="24"/>
        </w:rPr>
        <w:t xml:space="preserve">СТРОИТЕЛЬНОГО КОНТРОЛЯ ПРИ ОСУЩЕСТВЛЕНИИ СТРОИТЕЛЬСТВА,</w:t>
      </w:r>
    </w:p>
    <w:p>
      <w:pPr>
        <w:pStyle w:val="2"/>
        <w:jc w:val="center"/>
      </w:pPr>
      <w:r>
        <w:rPr>
          <w:sz w:val="24"/>
        </w:rPr>
        <w:t xml:space="preserve">РЕКОНСТРУКЦИИ И КАПИТАЛЬНОГО РЕМОНТА ОБЪЕКТОВ</w:t>
      </w:r>
    </w:p>
    <w:p>
      <w:pPr>
        <w:pStyle w:val="2"/>
        <w:jc w:val="center"/>
      </w:pPr>
      <w:r>
        <w:rPr>
          <w:sz w:val="24"/>
        </w:rPr>
        <w:t xml:space="preserve">КАПИТАЛЬНОГО СТРОИТЕЛЬСТВА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hyperlink w:history="0" r:id="rId8" w:tooltip="Постановление Правительства РФ от 06.05.2024 N 589 &quot;О внесении изменений в некоторые акты Правительства Российской Федерации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  <w:color w:val="392c69"/>
              </w:rPr>
              <w:t xml:space="preserve"> Правительства РФ от 06.05.2024 N 589)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hyperlink w:history="0" r:id="rId9" w:tooltip="&quot;Градостроительный кодекс Российской Федерации&quot; от 29.12.2004 N 190-ФЗ (ред. от 30.01.2026) ------------ Недействующая редакция {КонсультантПлюс}">
        <w:r>
          <w:rPr>
            <w:sz w:val="24"/>
            <w:color w:val="0000ff"/>
          </w:rPr>
          <w:t xml:space="preserve">частью 8 статьи 53</w:t>
        </w:r>
      </w:hyperlink>
      <w:r>
        <w:rPr>
          <w:sz w:val="24"/>
        </w:rPr>
        <w:t xml:space="preserve"> Градостроительного кодекса Российской Федерации Правительство Российской Федерации постановляет: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 Утвердить прилагаемое </w:t>
      </w:r>
      <w:hyperlink w:history="0" w:anchor="P33" w:tooltip="ПОЛОЖЕНИЕ">
        <w:r>
          <w:rPr>
            <w:sz w:val="24"/>
            <w:color w:val="0000ff"/>
          </w:rPr>
          <w:t xml:space="preserve">Положение</w:t>
        </w:r>
      </w:hyperlink>
      <w:r>
        <w:rPr>
          <w:sz w:val="24"/>
        </w:rPr>
        <w:t xml:space="preserve"> о проведении строительного контроля при осуществлении строительства, реконструкции и капитального ремонта объектов капитального строительства.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Установить, что в отношении объектов капитального строительства, финансируемых полностью или частично с привлечением средств федерального бюджета:</w:t>
      </w:r>
    </w:p>
    <w:bookmarkStart w:id="16" w:name="P16"/>
    <w:bookmarkEnd w:id="16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если подготовка проектной документации завершена и принята заказчиком по акту приемки выполненных работ до вступления в силу настоящего Постановления, заказчик проектной документации вправе направить ее на государственную экспертизу без проведения дополнительных работ, связанных с осуществлением расчета размера затрат на проведение строительного контроля;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отсутствие расчета размера затрат на проведение строительного контроля в проектной документации, представленной на государственную экспертизу, в случае, указанном в </w:t>
      </w:r>
      <w:hyperlink w:history="0" w:anchor="P16" w:tooltip="а) если подготовка проектной документации завершена и принята заказчиком по акту приемки выполненных работ до вступления в силу настоящего Постановления, заказчик проектной документации вправе направить ее на государственную экспертизу без проведения дополнительных работ, связанных с осуществлением расчета размера затрат на проведение строительного контроля;">
        <w:r>
          <w:rPr>
            <w:sz w:val="24"/>
            <w:color w:val="0000ff"/>
          </w:rPr>
          <w:t xml:space="preserve">подпункте "а"</w:t>
        </w:r>
      </w:hyperlink>
      <w:r>
        <w:rPr>
          <w:sz w:val="24"/>
        </w:rPr>
        <w:t xml:space="preserve"> настоящего пункта, а также в случае если государственная экспертиза проектной документации не завершена до вступления в силу настоящего Постановления, не является основанием для подготовки отрицательного заключения государственной экспертизы проектной документации;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при отсутствии в проектной документации расчета размера затрат на проведение строительного контроля финансирование расходов на его осуществление производится за счет средств, предусмотренных на непредвиденные работы и затраты в сводном сметном расчете стоимости строительства, в размере, не превышающем размер, рассчитанный в соответствии с </w:t>
      </w:r>
      <w:hyperlink w:history="0" w:anchor="P77" w:tooltip="15. Размер затрат заказчика на осуществление строительного контроля при строительстве объектов капитального строительства, финансируемых полностью или частично с привлечением средств федерального бюджета, определяется исходя из общей стоимости строительства, за исключением расходов на приобретение земельных участков, в базисном уровне цен по состоянию на 1 января 2000 г. (без налога на добавленную стоимость) путем расчета с применением нормативов расходов заказчика, определенных в приложении к настоящему...">
        <w:r>
          <w:rPr>
            <w:sz w:val="24"/>
            <w:color w:val="0000ff"/>
          </w:rPr>
          <w:t xml:space="preserve">пунктом 15</w:t>
        </w:r>
      </w:hyperlink>
      <w:r>
        <w:rPr>
          <w:sz w:val="24"/>
        </w:rPr>
        <w:t xml:space="preserve"> Положения, утвержденного настоящим Постановлением, за исключением случаев, если затраты на проведение строительного контроля на дату вступления в силу настоящего Постановления превысили установленный размер.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Председатель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В.ПУТИН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Утверждено</w:t>
      </w:r>
    </w:p>
    <w:p>
      <w:pPr>
        <w:pStyle w:val="0"/>
        <w:jc w:val="right"/>
      </w:pPr>
      <w:r>
        <w:rPr>
          <w:sz w:val="24"/>
        </w:rPr>
        <w:t xml:space="preserve">Постановлением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21 июня 2010 г. N 468</w:t>
      </w:r>
    </w:p>
    <w:p>
      <w:pPr>
        <w:pStyle w:val="0"/>
        <w:ind w:firstLine="540"/>
        <w:jc w:val="both"/>
      </w:pPr>
      <w:r>
        <w:rPr>
          <w:sz w:val="24"/>
        </w:rPr>
      </w:r>
    </w:p>
    <w:bookmarkStart w:id="33" w:name="P33"/>
    <w:bookmarkEnd w:id="33"/>
    <w:p>
      <w:pPr>
        <w:pStyle w:val="2"/>
        <w:jc w:val="center"/>
      </w:pPr>
      <w:r>
        <w:rPr>
          <w:sz w:val="24"/>
        </w:rPr>
        <w:t xml:space="preserve">ПОЛОЖЕНИЕ</w:t>
      </w:r>
    </w:p>
    <w:p>
      <w:pPr>
        <w:pStyle w:val="2"/>
        <w:jc w:val="center"/>
      </w:pPr>
      <w:r>
        <w:rPr>
          <w:sz w:val="24"/>
        </w:rPr>
        <w:t xml:space="preserve">О ПРОВЕДЕНИИ СТРОИТЕЛЬНОГО КОНТРОЛЯ ПРИ ОСУЩЕСТВЛЕНИИ</w:t>
      </w:r>
    </w:p>
    <w:p>
      <w:pPr>
        <w:pStyle w:val="2"/>
        <w:jc w:val="center"/>
      </w:pPr>
      <w:r>
        <w:rPr>
          <w:sz w:val="24"/>
        </w:rPr>
        <w:t xml:space="preserve">СТРОИТЕЛЬСТВА, РЕКОНСТРУКЦИИ И КАПИТАЛЬНОГО РЕМОНТА</w:t>
      </w:r>
    </w:p>
    <w:p>
      <w:pPr>
        <w:pStyle w:val="2"/>
        <w:jc w:val="center"/>
      </w:pPr>
      <w:r>
        <w:rPr>
          <w:sz w:val="24"/>
        </w:rPr>
        <w:t xml:space="preserve">ОБЪЕКТОВ КАПИТАЛЬНОГО СТРОИТЕЛЬСТВА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hyperlink w:history="0" r:id="rId10" w:tooltip="Постановление Правительства РФ от 06.05.2024 N 589 &quot;О внесении изменений в некоторые акты Правительства Российской Федерации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  <w:color w:val="392c69"/>
              </w:rPr>
              <w:t xml:space="preserve"> Правительства РФ от 06.05.2024 N 589)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Настоящее Положение устанавливает порядок проведения строительного контроля при осуществлении строительства, реконструкции и капитального ремонта (далее - строительство) объектов капитального строительства независимо от источников их финансирования, а также порядок определения размера затрат на проведение строительного контроля и численности работников, осуществляющих строительный контроль, по объектам, финансируемым полностью или частично с привлечением средств федерального бюджета.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Предметом строительного контроля является проверка выполнения работ при строительстве объектов капитального строительства на соответствие требованиям проектной и подготовленной на ее основе рабочей документации, результатам инженерных изысканий, требованиям градостроительного плана земельного участка, требованиям технических регламентов в целях обеспечения безопасности зданий и сооружений.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Строительный контроль проводится: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лицом, осуществляющим строительство (далее - подрядчик);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застройщиком, заказчиком либо организацией, осуществляющей подготовку проектной документации и привлеченной заказчиком (застройщиком) по договору для осуществления строительного контроля (в части проверки соответствия выполняемых работ проектной документации) (далее - заказчик).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Функции строительного контроля вправе осуществлять работники подрядчика и заказчика, на которых в установленном порядке возложена обязанность по осуществлению такого контроля.</w:t>
      </w:r>
    </w:p>
    <w:bookmarkStart w:id="46" w:name="P46"/>
    <w:bookmarkEnd w:id="46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Строительный контроль, осуществляемый подрядчиком, включает проведение следующих контрольных мероприятий: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проверка качества строительных материалов, изделий, конструкций и оборудования, поставленных для строительства объекта капитального строительства (далее соответственно - продукция, входной контроль);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проверка соблюдения установленных норм и правил складирования и хранения применяемой продукции;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проверка соблюдения последовательности и состава технологических операций при осуществлении строительства объекта капитального строительства;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совместно с заказчиком освидетельствование работ, скрываемых последующими работами (далее - скрытые работы), и промежуточная приемка возведенных строительных конструкций, влияющих на безопасность объекта капитального строительства, участков сетей инженерно-технического обеспечения;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д) приемка законченных видов (этапов) работ;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е) проверка совместно с заказчиком соответствия законченного строительством объекта требованиям проектной и подготовленной на ее основе рабочей документации, результатам инженерных изысканий, требованиям градостроительного плана земельного участка, технических регламентов.</w:t>
      </w:r>
    </w:p>
    <w:bookmarkStart w:id="53" w:name="P53"/>
    <w:bookmarkEnd w:id="53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Строительный контроль, осуществляемый заказчиком, включает проведение следующих контрольных мероприятий: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проверка полноты и соблюдения установленных сроков выполнения подрядчиком входного контроля и достоверности документирования его результатов;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проверка выполнения подрядчиком контрольных мероприятий по соблюдению правил складирования и хранения применяемой продукции и достоверности документирования его результатов;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проверка полноты и соблюдения установленных сроков выполнения подрядчиком контроля последовательности и состава технологических операций по осуществлению строительства объектов капитального строительства и достоверности документирования его результатов;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совместно с подрядчиком освидетельствование скрытых работ и промежуточная приемка возведенных строительных конструкций, влияющих на безопасность объекта капитального строительства, участков сетей инженерно-технического обеспечения;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д) проверка совместно с подрядчиком соответствия законченного строительством объекта требованиям проектной и подготовленной на ее основе рабочей документации, результатам инженерных изысканий, требованиям градостроительного плана земельного участка, требованиям технических регламентов;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е) иные мероприятия в целях осуществления строительного контроля, предусмотренные законодательством Российской Федерации и (или) заключенным договором.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Входной контроль осуществляется до момента применения продукции в процессе строительства и включает проверку наличия и содержания документов поставщиков, содержащих сведения о качестве поставленной ими продукции, ее соответствия требованиям рабочей документации, технических регламентов, национальных стандартов Российской Федерации и (или) сводов правил (части национального стандарта и (или) части свода правил), документов по стандартизации, указанных в </w:t>
      </w:r>
      <w:hyperlink w:history="0" r:id="rId11" w:tooltip="Федеральный закон от 29.06.2015 N 162-ФЗ (ред. от 30.12.2020) &quot;О стандартизации в Российской Федерации&quot; {КонсультантПлюс}">
        <w:r>
          <w:rPr>
            <w:sz w:val="24"/>
            <w:color w:val="0000ff"/>
          </w:rPr>
          <w:t xml:space="preserve">пункте 5 статьи 14</w:t>
        </w:r>
      </w:hyperlink>
      <w:r>
        <w:rPr>
          <w:sz w:val="24"/>
        </w:rPr>
        <w:t xml:space="preserve"> Федерального закона "О стандартизации в Российской Федерации", международных стандартов, региональных стандартов и региональных сводов правил, стандартов иностранных государств и сводов правил иностранных государств, стандартов организаций (в случае, если их применение предусмотрено проектной документацией).</w:t>
      </w:r>
    </w:p>
    <w:p>
      <w:pPr>
        <w:pStyle w:val="0"/>
        <w:jc w:val="both"/>
      </w:pPr>
      <w:r>
        <w:rPr>
          <w:sz w:val="24"/>
        </w:rPr>
        <w:t xml:space="preserve">(в ред. </w:t>
      </w:r>
      <w:hyperlink w:history="0" r:id="rId12" w:tooltip="Постановление Правительства РФ от 06.05.2024 N 589 &quot;О внесении изменений в некоторые акты Правительства Российской Федерации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Правительства РФ от 06.05.2024 N 589)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Подрядчик вправе при осуществлении входного контроля провести в установленном порядке измерения и испытания соответствующей продукции своими силами или поручить их проведение аккредитованной организации.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случае выявления при входном контроле продукции, не соответствующей установленным требованиям, ее применение для строительства не допускается.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8. В случае если в ходе проверки соблюдения правил складирования и хранения выявлены нарушения установленных норм и правил, применение продукции, хранившейся с нарушением, для строительства не допускается впредь до подтверждения соответствия показателей ее качества требованиям рабочей документации, технических регламентов, национальных стандартов Российской Федерации и (или) сводов правил (части национального стандарта и (или) части свода правил), документов по стандартизации, указанных в </w:t>
      </w:r>
      <w:hyperlink w:history="0" r:id="rId13" w:tooltip="Федеральный закон от 29.06.2015 N 162-ФЗ (ред. от 30.12.2020) &quot;О стандартизации в Российской Федерации&quot; {КонсультантПлюс}">
        <w:r>
          <w:rPr>
            <w:sz w:val="24"/>
            <w:color w:val="0000ff"/>
          </w:rPr>
          <w:t xml:space="preserve">пункте 5 статьи 14</w:t>
        </w:r>
      </w:hyperlink>
      <w:r>
        <w:rPr>
          <w:sz w:val="24"/>
        </w:rPr>
        <w:t xml:space="preserve"> Федерального закона "О стандартизации в Российской Федерации", международных стандартов, региональных стандартов и региональных сводов правил, стандартов иностранных государств и сводов правил иностранных государств, стандартов организаций (в случае, если их применение предусмотрено проектной документацией).</w:t>
      </w:r>
    </w:p>
    <w:p>
      <w:pPr>
        <w:pStyle w:val="0"/>
        <w:jc w:val="both"/>
      </w:pPr>
      <w:r>
        <w:rPr>
          <w:sz w:val="24"/>
        </w:rPr>
        <w:t xml:space="preserve">(в ред. </w:t>
      </w:r>
      <w:hyperlink w:history="0" r:id="rId14" w:tooltip="Постановление Правительства РФ от 06.05.2024 N 589 &quot;О внесении изменений в некоторые акты Правительства Российской Федерации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Правительства РФ от 06.05.2024 N 589)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9. В ходе контроля последовательности и состава технологических операций по строительству объектов капитального строительства осуществляется проверка: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соблюдения последовательности и состава выполняемых технологических операций и их соответствия требованиям проектной документации, результатам инженерных изысканий, градостроительному плану земельного участка, требованиям технических регламентов, а также национальных стандартов Российской Федерации и (или) сводов правил (части национального стандарта и (или) части свода правил), документов по стандартизации, указанных в </w:t>
      </w:r>
      <w:hyperlink w:history="0" r:id="rId15" w:tooltip="Федеральный закон от 29.06.2015 N 162-ФЗ (ред. от 30.12.2020) &quot;О стандартизации в Российской Федерации&quot; {КонсультантПлюс}">
        <w:r>
          <w:rPr>
            <w:sz w:val="24"/>
            <w:color w:val="0000ff"/>
          </w:rPr>
          <w:t xml:space="preserve">пункте 5 статьи 14</w:t>
        </w:r>
      </w:hyperlink>
      <w:r>
        <w:rPr>
          <w:sz w:val="24"/>
        </w:rPr>
        <w:t xml:space="preserve"> Федерального закона "О стандартизации в Российской Федерации", международных стандартов, региональных стандартов и региональных сводов правил, стандартов иностранных государств и сводов правил иностранных государств, стандартов организаций (в случае, если их применение предусмотрено проектной документацией);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соответствия качества выполнения технологических операций и их результатов требованиям проектной и подготовленной на ее основе рабочей документации, требованиям технических регламентов, а также национальных стандартов Российской Федерации и (или) сводов правил (части национального стандарта и (или) части свода правил), документов по стандартизации, указанных в </w:t>
      </w:r>
      <w:hyperlink w:history="0" r:id="rId16" w:tooltip="Федеральный закон от 29.06.2015 N 162-ФЗ (ред. от 30.12.2020) &quot;О стандартизации в Российской Федерации&quot; {КонсультантПлюс}">
        <w:r>
          <w:rPr>
            <w:sz w:val="24"/>
            <w:color w:val="0000ff"/>
          </w:rPr>
          <w:t xml:space="preserve">пункте 5 статьи 14</w:t>
        </w:r>
      </w:hyperlink>
      <w:r>
        <w:rPr>
          <w:sz w:val="24"/>
        </w:rPr>
        <w:t xml:space="preserve"> Федерального закона "О стандартизации в Российской Федерации", международных стандартов, региональных стандартов и региональных сводов правил, стандартов иностранных государств и сводов правил иностранных государств, стандартов организаций (в случае, если их применение предусмотрено проектной документацией).</w:t>
      </w:r>
    </w:p>
    <w:p>
      <w:pPr>
        <w:pStyle w:val="0"/>
        <w:jc w:val="both"/>
      </w:pPr>
      <w:r>
        <w:rPr>
          <w:sz w:val="24"/>
        </w:rPr>
        <w:t xml:space="preserve">(п. 9 в ред. </w:t>
      </w:r>
      <w:hyperlink w:history="0" r:id="rId17" w:tooltip="Постановление Правительства РФ от 06.05.2024 N 589 &quot;О внесении изменений в некоторые акты Правительства Российской Федерации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Правительства РФ от 06.05.2024 N 589)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10. До завершения процедуры освидетельствования скрытых работ выполнение последующих работ запрещается.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11. В случае если контрольные мероприятия выполняются в соответствии с </w:t>
      </w:r>
      <w:hyperlink w:history="0" w:anchor="P46" w:tooltip="5. Строительный контроль, осуществляемый подрядчиком, включает проведение следующих контрольных мероприятий:">
        <w:r>
          <w:rPr>
            <w:sz w:val="24"/>
            <w:color w:val="0000ff"/>
          </w:rPr>
          <w:t xml:space="preserve">пунктами 5</w:t>
        </w:r>
      </w:hyperlink>
      <w:r>
        <w:rPr>
          <w:sz w:val="24"/>
        </w:rPr>
        <w:t xml:space="preserve"> и </w:t>
      </w:r>
      <w:hyperlink w:history="0" w:anchor="P53" w:tooltip="6. Строительный контроль, осуществляемый заказчиком, включает проведение следующих контрольных мероприятий:">
        <w:r>
          <w:rPr>
            <w:sz w:val="24"/>
            <w:color w:val="0000ff"/>
          </w:rPr>
          <w:t xml:space="preserve">6</w:t>
        </w:r>
      </w:hyperlink>
      <w:r>
        <w:rPr>
          <w:sz w:val="24"/>
        </w:rPr>
        <w:t xml:space="preserve"> настоящего Положения совместно подрядчиком и заказчиком, подрядчик обеспечивает уведомление заказчика о дате и времени проведения этих мероприятий не позднее чем за 3 рабочих дня.</w:t>
      </w:r>
    </w:p>
    <w:bookmarkStart w:id="72" w:name="P72"/>
    <w:bookmarkEnd w:id="72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случае если заказчик был уведомлен в установленном порядке и не явился для участия в контрольных мероприятиях, подрядчик вправе провести их в отсутствие заказчика.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12. Проведение контрольного мероприятия и его результаты фиксируются путем составления акта. Сведения о проведенных контрольных мероприятиях и их результатах отражаются в общем журнале работ с приложением к нему соответствующих актов. Акты, составленные по результатам контрольных мероприятий, проводимых совместно подрядчиком и заказчиком, составляются в 2 экземплярах и подписываются их представителями.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случае, предусмотренном </w:t>
      </w:r>
      <w:hyperlink w:history="0" w:anchor="P72" w:tooltip="В случае если заказчик был уведомлен в установленном порядке и не явился для участия в контрольных мероприятиях, подрядчик вправе провести их в отсутствие заказчика.">
        <w:r>
          <w:rPr>
            <w:sz w:val="24"/>
            <w:color w:val="0000ff"/>
          </w:rPr>
          <w:t xml:space="preserve">абзацем вторым пункта 11</w:t>
        </w:r>
      </w:hyperlink>
      <w:r>
        <w:rPr>
          <w:sz w:val="24"/>
        </w:rPr>
        <w:t xml:space="preserve"> настоящего Положения, подрядчик в течение 3 дней после завершения контрольного мероприятия обязан направить заказчику 1 копию акта, составленного по результатам контрольного мероприятия.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13. На объектах капитального строительства, возводимых полностью или частично с привлечением средств федерального бюджета, осуществление подрядчиком строительного контроля финансируется за счет накладных расходов подрядчика, предусмотренных в цене договора строительного подряда.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14. Нормативы расходов заказчика на осуществление строительного контроля при строительстве объектов капитального строительства, финансируемых полностью или частично с привлечением средств федерального бюджета, и нормативы численности работников заказчика, на которых в установленном порядке возлагается обязанность по осуществлению строительного контроля, определяются согласно </w:t>
      </w:r>
      <w:hyperlink w:history="0" w:anchor="P91" w:tooltip="НОРМАТИВЫ РАСХОДОВ">
        <w:r>
          <w:rPr>
            <w:sz w:val="24"/>
            <w:color w:val="0000ff"/>
          </w:rPr>
          <w:t xml:space="preserve">приложению</w:t>
        </w:r>
      </w:hyperlink>
      <w:r>
        <w:rPr>
          <w:sz w:val="24"/>
        </w:rPr>
        <w:t xml:space="preserve">.</w:t>
      </w:r>
    </w:p>
    <w:bookmarkStart w:id="77" w:name="P77"/>
    <w:bookmarkEnd w:id="77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15. Размер затрат заказчика на осуществление строительного контроля при строительстве объектов капитального строительства, финансируемых полностью или частично с привлечением средств федерального бюджета, определяется исходя из общей стоимости строительства, за исключением расходов на приобретение земельных участков, в базисном уровне цен по состоянию на 1 января 2000 г. (без налога на добавленную стоимость) путем расчета с применением нормативов расходов заказчика, определенных в </w:t>
      </w:r>
      <w:hyperlink w:history="0" w:anchor="P91" w:tooltip="НОРМАТИВЫ РАСХОДОВ">
        <w:r>
          <w:rPr>
            <w:sz w:val="24"/>
            <w:color w:val="0000ff"/>
          </w:rPr>
          <w:t xml:space="preserve">приложении</w:t>
        </w:r>
      </w:hyperlink>
      <w:r>
        <w:rPr>
          <w:sz w:val="24"/>
        </w:rPr>
        <w:t xml:space="preserve"> к настоящему Положению, и указывается в </w:t>
      </w:r>
      <w:hyperlink w:history="0" r:id="rId18" w:tooltip="Постановление Правительства РФ от 16.02.2008 N 87 (ред. от 21.10.2025) &quot;О составе разделов проектной документации и требованиях к их содержанию&quot; {КонсультантПлюс}">
        <w:r>
          <w:rPr>
            <w:sz w:val="24"/>
            <w:color w:val="0000ff"/>
          </w:rPr>
          <w:t xml:space="preserve">главе 10</w:t>
        </w:r>
      </w:hyperlink>
      <w:r>
        <w:rPr>
          <w:sz w:val="24"/>
        </w:rPr>
        <w:t xml:space="preserve"> сводного сметного расчета стоимости строительства отдельной строкой "Строительный контроль".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outlineLvl w:val="1"/>
        <w:jc w:val="right"/>
      </w:pPr>
      <w:r>
        <w:rPr>
          <w:sz w:val="24"/>
        </w:rPr>
        <w:t xml:space="preserve">Приложение</w:t>
      </w:r>
    </w:p>
    <w:p>
      <w:pPr>
        <w:pStyle w:val="0"/>
        <w:jc w:val="right"/>
      </w:pPr>
      <w:r>
        <w:rPr>
          <w:sz w:val="24"/>
        </w:rPr>
        <w:t xml:space="preserve">к Положению о проведении</w:t>
      </w:r>
    </w:p>
    <w:p>
      <w:pPr>
        <w:pStyle w:val="0"/>
        <w:jc w:val="right"/>
      </w:pPr>
      <w:r>
        <w:rPr>
          <w:sz w:val="24"/>
        </w:rPr>
        <w:t xml:space="preserve">строительного контроля при</w:t>
      </w:r>
    </w:p>
    <w:p>
      <w:pPr>
        <w:pStyle w:val="0"/>
        <w:jc w:val="right"/>
      </w:pPr>
      <w:r>
        <w:rPr>
          <w:sz w:val="24"/>
        </w:rPr>
        <w:t xml:space="preserve">осуществлении строительства,</w:t>
      </w:r>
    </w:p>
    <w:p>
      <w:pPr>
        <w:pStyle w:val="0"/>
        <w:jc w:val="right"/>
      </w:pPr>
      <w:r>
        <w:rPr>
          <w:sz w:val="24"/>
        </w:rPr>
        <w:t xml:space="preserve">реконструкции и капитального</w:t>
      </w:r>
    </w:p>
    <w:p>
      <w:pPr>
        <w:pStyle w:val="0"/>
        <w:jc w:val="right"/>
      </w:pPr>
      <w:r>
        <w:rPr>
          <w:sz w:val="24"/>
        </w:rPr>
        <w:t xml:space="preserve">ремонта объектов</w:t>
      </w:r>
    </w:p>
    <w:p>
      <w:pPr>
        <w:pStyle w:val="0"/>
        <w:jc w:val="right"/>
      </w:pPr>
      <w:r>
        <w:rPr>
          <w:sz w:val="24"/>
        </w:rPr>
        <w:t xml:space="preserve">капитального строительства</w:t>
      </w:r>
    </w:p>
    <w:p>
      <w:pPr>
        <w:pStyle w:val="0"/>
        <w:ind w:firstLine="540"/>
        <w:jc w:val="both"/>
      </w:pPr>
      <w:r>
        <w:rPr>
          <w:sz w:val="24"/>
        </w:rPr>
      </w:r>
    </w:p>
    <w:bookmarkStart w:id="91" w:name="P91"/>
    <w:bookmarkEnd w:id="91"/>
    <w:p>
      <w:pPr>
        <w:pStyle w:val="2"/>
        <w:jc w:val="center"/>
      </w:pPr>
      <w:r>
        <w:rPr>
          <w:sz w:val="24"/>
        </w:rPr>
        <w:t xml:space="preserve">НОРМАТИВЫ РАСХОДОВ</w:t>
      </w:r>
    </w:p>
    <w:p>
      <w:pPr>
        <w:pStyle w:val="2"/>
        <w:jc w:val="center"/>
      </w:pPr>
      <w:r>
        <w:rPr>
          <w:sz w:val="24"/>
        </w:rPr>
        <w:t xml:space="preserve">ЗАКАЗЧИКА НА ОСУЩЕСТВЛЕНИЕ СТРОИТЕЛЬНОГО КОНТРОЛЯ</w:t>
      </w:r>
    </w:p>
    <w:p>
      <w:pPr>
        <w:pStyle w:val="2"/>
        <w:jc w:val="center"/>
      </w:pPr>
      <w:r>
        <w:rPr>
          <w:sz w:val="24"/>
        </w:rPr>
        <w:t xml:space="preserve">ПРИ СТРОИТЕЛЬСТВЕ ОБЪЕКТОВ КАПИТАЛЬНОГО СТРОИТЕЛЬСТВА,</w:t>
      </w:r>
    </w:p>
    <w:p>
      <w:pPr>
        <w:pStyle w:val="2"/>
        <w:jc w:val="center"/>
      </w:pPr>
      <w:r>
        <w:rPr>
          <w:sz w:val="24"/>
        </w:rPr>
        <w:t xml:space="preserve">ФИНАНСИРУЕМЫХ ПОЛНОСТЬЮ ИЛИ ЧАСТИЧНО С ПРИВЛЕЧЕНИЕМ</w:t>
      </w:r>
    </w:p>
    <w:p>
      <w:pPr>
        <w:pStyle w:val="2"/>
        <w:jc w:val="center"/>
      </w:pPr>
      <w:r>
        <w:rPr>
          <w:sz w:val="24"/>
        </w:rPr>
        <w:t xml:space="preserve">СРЕДСТВ ФЕДЕРАЛЬНОГО БЮДЖЕТА, И НОРМАТИВЫ ЧИСЛЕННОСТИ</w:t>
      </w:r>
    </w:p>
    <w:p>
      <w:pPr>
        <w:pStyle w:val="2"/>
        <w:jc w:val="center"/>
      </w:pPr>
      <w:r>
        <w:rPr>
          <w:sz w:val="24"/>
        </w:rPr>
        <w:t xml:space="preserve">РАБОТНИКОВ ЗАКАЗЧИКА, НА КОТОРЫХ В УСТАНОВЛЕННОМ</w:t>
      </w:r>
    </w:p>
    <w:p>
      <w:pPr>
        <w:pStyle w:val="2"/>
        <w:jc w:val="center"/>
      </w:pPr>
      <w:r>
        <w:rPr>
          <w:sz w:val="24"/>
        </w:rPr>
        <w:t xml:space="preserve">ПОРЯДКЕ ВОЗЛАГАЕТСЯ ОБЯЗАННОСТЬ ПО ОСУЩЕСТВЛЕНИЮ</w:t>
      </w:r>
    </w:p>
    <w:p>
      <w:pPr>
        <w:pStyle w:val="2"/>
        <w:jc w:val="center"/>
      </w:pPr>
      <w:r>
        <w:rPr>
          <w:sz w:val="24"/>
        </w:rPr>
        <w:t xml:space="preserve">СТРОИТЕЛЬНОГО КОНТРОЛЯ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6"/>
          <w:footerReference w:type="default" r:id="rId7"/>
          <w:footerReference w:type="first" r:id="rId7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bottom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620"/>
        <w:gridCol w:w="3795"/>
        <w:gridCol w:w="4125"/>
      </w:tblGrid>
      <w:tr>
        <w:tblPrEx>
          <w:tblBorders>
            <w:insideV w:val="single" w:sz="4"/>
            <w:insideH w:val="single" w:sz="4"/>
          </w:tblBorders>
        </w:tblPrEx>
        <w:tc>
          <w:tcPr>
            <w:tcW w:w="4620" w:type="dxa"/>
            <w:tcBorders>
              <w:top w:val="single" w:sz="4"/>
              <w:left w:val="nil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Стоимость строительства в базисном уровне цен по состоянию на 1 января 2000 г. (млн. рублей)</w:t>
            </w:r>
          </w:p>
        </w:tc>
        <w:tc>
          <w:tcPr>
            <w:tcW w:w="3795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Норматив расходов заказчика на осуществление строительного контроля (процентов)</w:t>
            </w:r>
          </w:p>
        </w:tc>
        <w:tc>
          <w:tcPr>
            <w:tcW w:w="4125" w:type="dxa"/>
            <w:tcBorders>
              <w:top w:val="single" w:sz="4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Норматив численности работников заказчика, осуществляющих строительный контроль (человек)</w:t>
            </w:r>
          </w:p>
        </w:tc>
      </w:tr>
      <w:tr>
        <w:tc>
          <w:tcPr>
            <w:tcW w:w="4620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ind w:left="283"/>
              <w:jc w:val="both"/>
            </w:pPr>
            <w:r>
              <w:rPr>
                <w:sz w:val="24"/>
              </w:rPr>
              <w:t xml:space="preserve">до 30</w:t>
            </w:r>
          </w:p>
        </w:tc>
        <w:tc>
          <w:tcPr>
            <w:tcW w:w="3795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2,14</w:t>
            </w:r>
          </w:p>
        </w:tc>
        <w:tc>
          <w:tcPr>
            <w:tcW w:w="4125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</w:tr>
      <w:t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left="283"/>
              <w:jc w:val="both"/>
            </w:pPr>
            <w:r>
              <w:rPr>
                <w:sz w:val="24"/>
              </w:rPr>
              <w:t xml:space="preserve">от 30 до 50</w:t>
            </w:r>
          </w:p>
        </w:tc>
        <w:tc>
          <w:tcPr>
            <w:tcW w:w="37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1,93</w:t>
            </w:r>
          </w:p>
        </w:tc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</w:tr>
      <w:t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left="283"/>
              <w:jc w:val="both"/>
            </w:pPr>
            <w:r>
              <w:rPr>
                <w:sz w:val="24"/>
              </w:rPr>
              <w:t xml:space="preserve">от 50 до 70</w:t>
            </w:r>
          </w:p>
        </w:tc>
        <w:tc>
          <w:tcPr>
            <w:tcW w:w="37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1,81</w:t>
            </w:r>
          </w:p>
        </w:tc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</w:tr>
      <w:t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left="283"/>
              <w:jc w:val="both"/>
            </w:pPr>
            <w:r>
              <w:rPr>
                <w:sz w:val="24"/>
              </w:rPr>
              <w:t xml:space="preserve">от 70 до 90</w:t>
            </w:r>
          </w:p>
        </w:tc>
        <w:tc>
          <w:tcPr>
            <w:tcW w:w="37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1,72</w:t>
            </w:r>
          </w:p>
        </w:tc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</w:tr>
      <w:t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left="283"/>
              <w:jc w:val="both"/>
            </w:pPr>
            <w:r>
              <w:rPr>
                <w:sz w:val="24"/>
              </w:rPr>
              <w:t xml:space="preserve">от 90 до 125</w:t>
            </w:r>
          </w:p>
        </w:tc>
        <w:tc>
          <w:tcPr>
            <w:tcW w:w="37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1,61</w:t>
            </w:r>
          </w:p>
        </w:tc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</w:tr>
      <w:t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left="283"/>
              <w:jc w:val="both"/>
            </w:pPr>
            <w:r>
              <w:rPr>
                <w:sz w:val="24"/>
              </w:rPr>
              <w:t xml:space="preserve">от 125 до 150</w:t>
            </w:r>
          </w:p>
        </w:tc>
        <w:tc>
          <w:tcPr>
            <w:tcW w:w="37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1,56</w:t>
            </w:r>
          </w:p>
        </w:tc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</w:tr>
      <w:t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left="283"/>
              <w:jc w:val="both"/>
            </w:pPr>
            <w:r>
              <w:rPr>
                <w:sz w:val="24"/>
              </w:rPr>
              <w:t xml:space="preserve">от 150 до 200</w:t>
            </w:r>
          </w:p>
        </w:tc>
        <w:tc>
          <w:tcPr>
            <w:tcW w:w="37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1,47</w:t>
            </w:r>
          </w:p>
        </w:tc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left="283"/>
              <w:jc w:val="both"/>
            </w:pPr>
            <w:r>
              <w:rPr>
                <w:sz w:val="24"/>
              </w:rPr>
              <w:t xml:space="preserve">от 200 до 300</w:t>
            </w:r>
          </w:p>
        </w:tc>
        <w:tc>
          <w:tcPr>
            <w:tcW w:w="37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1,36</w:t>
            </w:r>
          </w:p>
        </w:tc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</w:tr>
      <w:t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left="283"/>
              <w:jc w:val="both"/>
            </w:pPr>
            <w:r>
              <w:rPr>
                <w:sz w:val="24"/>
              </w:rPr>
              <w:t xml:space="preserve">от 300 до 400</w:t>
            </w:r>
          </w:p>
        </w:tc>
        <w:tc>
          <w:tcPr>
            <w:tcW w:w="37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1,28</w:t>
            </w:r>
          </w:p>
        </w:tc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</w:tr>
      <w:t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left="283"/>
              <w:jc w:val="both"/>
            </w:pPr>
            <w:r>
              <w:rPr>
                <w:sz w:val="24"/>
              </w:rPr>
              <w:t xml:space="preserve">от 400 до 500</w:t>
            </w:r>
          </w:p>
        </w:tc>
        <w:tc>
          <w:tcPr>
            <w:tcW w:w="37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1,23</w:t>
            </w:r>
          </w:p>
        </w:tc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</w:t>
            </w:r>
          </w:p>
        </w:tc>
      </w:tr>
      <w:t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left="283"/>
              <w:jc w:val="both"/>
            </w:pPr>
            <w:r>
              <w:rPr>
                <w:sz w:val="24"/>
              </w:rPr>
              <w:t xml:space="preserve">от 500 до 600</w:t>
            </w:r>
          </w:p>
        </w:tc>
        <w:tc>
          <w:tcPr>
            <w:tcW w:w="37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1,18</w:t>
            </w:r>
          </w:p>
        </w:tc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</w:t>
            </w:r>
          </w:p>
        </w:tc>
      </w:tr>
      <w:t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left="283"/>
              <w:jc w:val="both"/>
            </w:pPr>
            <w:r>
              <w:rPr>
                <w:sz w:val="24"/>
              </w:rPr>
              <w:t xml:space="preserve">от 600 до 750</w:t>
            </w:r>
          </w:p>
        </w:tc>
        <w:tc>
          <w:tcPr>
            <w:tcW w:w="37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1,13</w:t>
            </w:r>
          </w:p>
        </w:tc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</w:t>
            </w:r>
          </w:p>
        </w:tc>
      </w:tr>
      <w:tr>
        <w:tc>
          <w:tcPr>
            <w:tcW w:w="4620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  <w:ind w:left="283"/>
              <w:jc w:val="both"/>
            </w:pPr>
            <w:r>
              <w:rPr>
                <w:sz w:val="24"/>
              </w:rPr>
              <w:t xml:space="preserve">от 750 до 900</w:t>
            </w:r>
          </w:p>
        </w:tc>
        <w:tc>
          <w:tcPr>
            <w:tcW w:w="3795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1,09</w:t>
            </w:r>
          </w:p>
        </w:tc>
        <w:tc>
          <w:tcPr>
            <w:tcW w:w="4125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</w:t>
            </w:r>
          </w:p>
        </w:tc>
      </w:tr>
    </w:tbl>
    <w:p>
      <w:pPr>
        <w:sectPr>
          <w:headerReference w:type="default" r:id="rId19"/>
          <w:headerReference w:type="first" r:id="rId19"/>
          <w:footerReference w:type="default" r:id="rId20"/>
          <w:footerReference w:type="first" r:id="rId20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Примечание. При стоимости строительства более 900 млн. рублей в базисном уровне цен по состоянию на 1 января 2000 г.: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нормативы расходов на осуществление строительного контроля заказчика определяются по формуле </w:t>
      </w:r>
      <w:r>
        <w:rPr>
          <w:position w:val="-9"/>
        </w:rPr>
        <w:drawing>
          <wp:inline distT="0" distB="0" distL="0" distR="0">
            <wp:extent cx="1676400" cy="27432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,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где: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 - норматив расходов на осуществление строительного контроля заказчика в процентах;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 - стоимость строительства в базисном уровне цен по состоянию на 1 января 2000 г.;</w:t>
      </w:r>
    </w:p>
    <w:p>
      <w:pPr>
        <w:pStyle w:val="0"/>
        <w:spacing w:before="240" w:lineRule="auto"/>
        <w:ind w:firstLine="540"/>
        <w:jc w:val="both"/>
      </w:pPr>
      <w:r>
        <w:rPr>
          <w:position w:val="-6"/>
        </w:rPr>
        <w:drawing>
          <wp:inline distT="0" distB="0" distL="0" distR="0">
            <wp:extent cx="467360" cy="23876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6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- стоимость строительства в базисном уровне цен по состоянию на 1 января 2000 г., возведенная в степень 0,8022;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численность работников заказчика, осуществляющих строительный контроль, увеличивается на 1 человека на каждые 30 млн. рублей сверх указанной суммы.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"/>
      <w:headerReference w:type="first" r:id="rId6"/>
      <w:footerReference w:type="default" r:id="rId7"/>
      <w:footerReference w:type="first" r:id="rId7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РФ от 21.06.2010 N 468</w:t>
            <w:br/>
            <w:t>(ред. от 06.05.2024)</w:t>
            <w:br/>
            <w:t>"О порядке проведения строительного контроля при...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03.03.2026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РФ от 21.06.2010 N 468</w:t>
            <w:br/>
            <w:t>(ред. от 06.05.2024)</w:t>
            <w:br/>
            <w:t>"О порядке проведения строительного контроля при...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03.03.2026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yperlink" Target="https://login.consultant.ru/link/?req=doc&amp;base=LAW&amp;n=476071&amp;date=03.03.2026&amp;dst=100023&amp;field=134&amp;demo=2" TargetMode = "External"/><Relationship Id="rId9" Type="http://schemas.openxmlformats.org/officeDocument/2006/relationships/hyperlink" Target="https://login.consultant.ru/link/?req=doc&amp;base=LAW&amp;n=525518&amp;date=03.03.2026&amp;dst=100870&amp;field=134&amp;demo=2" TargetMode = "External"/><Relationship Id="rId10" Type="http://schemas.openxmlformats.org/officeDocument/2006/relationships/hyperlink" Target="https://login.consultant.ru/link/?req=doc&amp;base=LAW&amp;n=476071&amp;date=03.03.2026&amp;dst=100023&amp;field=134&amp;demo=2" TargetMode = "External"/><Relationship Id="rId11" Type="http://schemas.openxmlformats.org/officeDocument/2006/relationships/hyperlink" Target="https://login.consultant.ru/link/?req=doc&amp;base=LAW&amp;n=372899&amp;date=03.03.2026&amp;dst=100175&amp;field=134&amp;demo=2" TargetMode = "External"/><Relationship Id="rId12" Type="http://schemas.openxmlformats.org/officeDocument/2006/relationships/hyperlink" Target="https://login.consultant.ru/link/?req=doc&amp;base=LAW&amp;n=476071&amp;date=03.03.2026&amp;dst=100024&amp;field=134&amp;demo=2" TargetMode = "External"/><Relationship Id="rId13" Type="http://schemas.openxmlformats.org/officeDocument/2006/relationships/hyperlink" Target="https://login.consultant.ru/link/?req=doc&amp;base=LAW&amp;n=372899&amp;date=03.03.2026&amp;dst=100175&amp;field=134&amp;demo=2" TargetMode = "External"/><Relationship Id="rId14" Type="http://schemas.openxmlformats.org/officeDocument/2006/relationships/hyperlink" Target="https://login.consultant.ru/link/?req=doc&amp;base=LAW&amp;n=476071&amp;date=03.03.2026&amp;dst=100025&amp;field=134&amp;demo=2" TargetMode = "External"/><Relationship Id="rId15" Type="http://schemas.openxmlformats.org/officeDocument/2006/relationships/hyperlink" Target="https://login.consultant.ru/link/?req=doc&amp;base=LAW&amp;n=372899&amp;date=03.03.2026&amp;dst=100175&amp;field=134&amp;demo=2" TargetMode = "External"/><Relationship Id="rId16" Type="http://schemas.openxmlformats.org/officeDocument/2006/relationships/hyperlink" Target="https://login.consultant.ru/link/?req=doc&amp;base=LAW&amp;n=372899&amp;date=03.03.2026&amp;dst=100175&amp;field=134&amp;demo=2" TargetMode = "External"/><Relationship Id="rId17" Type="http://schemas.openxmlformats.org/officeDocument/2006/relationships/hyperlink" Target="https://login.consultant.ru/link/?req=doc&amp;base=LAW&amp;n=476071&amp;date=03.03.2026&amp;dst=100026&amp;field=134&amp;demo=2" TargetMode = "External"/><Relationship Id="rId18" Type="http://schemas.openxmlformats.org/officeDocument/2006/relationships/hyperlink" Target="https://login.consultant.ru/link/?req=doc&amp;base=LAW&amp;n=517181&amp;date=03.03.2026&amp;dst=100412&amp;field=134&amp;demo=2" TargetMode = "External"/><Relationship Id="rId19" Type="http://schemas.openxmlformats.org/officeDocument/2006/relationships/header" Target="header2.xml"/><Relationship Id="rId20" Type="http://schemas.openxmlformats.org/officeDocument/2006/relationships/footer" Target="footer2.xml"/><Relationship Id="rId21" Type="http://schemas.openxmlformats.org/officeDocument/2006/relationships/image" Target="media/image2.wmf"/><Relationship Id="rId22" Type="http://schemas.openxmlformats.org/officeDocument/2006/relationships/image" Target="media/image3.wmf"/></Relationships>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footer2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2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4025.00.50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21.06.2010 N 468
(ред. от 06.05.2024)
"О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строительства"
(вместе с "Положением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строительства")</dc:title>
  <dcterms:created xsi:type="dcterms:W3CDTF">2026-03-03T17:39:35Z</dcterms:created>
</cp:coreProperties>
</file>